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595959"/>
          <w:sz w:val="20"/>
          <w:szCs w:val="20"/>
        </w:rPr>
        <w:t xml:space="preserve">CLEAR RIVER SCHOOL DISTRICT</w:t>
      </w:r>
    </w:p>
    <w:p>
      <w:pPr>
        <w:spacing w:after="200"/>
      </w:pPr>
      <w:r>
        <w:rPr>
          <w:color w:val="595959"/>
          <w:sz w:val="20"/>
          <w:szCs w:val="20"/>
        </w:rPr>
        <w:t xml:space="preserve">Board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Policy Code</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GBRI/GCRG/GDRH</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Classification</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Certificated and Classified Personnel</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Descriptor Term</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LEAVE AND ABSENCES</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Adopted</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March 12, 2019</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Last Revised</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May 8, 2025</w:t>
            </w:r>
          </w:p>
        </w:tc>
      </w:tr>
      <w:tr>
        <w:tc>
          <w:tcPr>
            <w:tcW w:type="dxa" w:w="2400"/>
            <w:tcBorders>
              <w:top w:val="single" w:color="BFBFBF" w:sz="4"/>
              <w:left w:val="single" w:color="BFBFBF" w:sz="4"/>
              <w:bottom w:val="single" w:color="BFBFBF" w:sz="4"/>
              <w:right w:val="single" w:color="BFBFBF" w:sz="4"/>
            </w:tcBorders>
            <w:shd w:fill="F2F2F2" w:val="clear"/>
            <w:tcMar>
              <w:top w:type="dxa" w:w="60"/>
              <w:left w:type="dxa" w:w="120"/>
              <w:bottom w:type="dxa" w:w="60"/>
              <w:right w:type="dxa" w:w="120"/>
            </w:tcMar>
          </w:tcPr>
          <w:p>
            <w:r>
              <w:rPr>
                <w:b/>
                <w:bCs/>
                <w:sz w:val="19"/>
                <w:szCs w:val="19"/>
              </w:rPr>
              <w:t xml:space="preserve">Effective Date</w:t>
            </w:r>
          </w:p>
        </w:tc>
        <w:tc>
          <w:tcPr>
            <w:tcW w:type="dxa" w:w="6960"/>
            <w:tcBorders>
              <w:top w:val="single" w:color="BFBFBF" w:sz="4"/>
              <w:left w:val="single" w:color="BFBFBF" w:sz="4"/>
              <w:bottom w:val="single" w:color="BFBFBF" w:sz="4"/>
              <w:right w:val="single" w:color="BFBFBF" w:sz="4"/>
            </w:tcBorders>
            <w:tcMar>
              <w:top w:type="dxa" w:w="60"/>
              <w:left w:type="dxa" w:w="120"/>
              <w:bottom w:type="dxa" w:w="60"/>
              <w:right w:type="dxa" w:w="120"/>
            </w:tcMar>
          </w:tcPr>
          <w:p>
            <w:r>
              <w:rPr>
                <w:sz w:val="19"/>
                <w:szCs w:val="19"/>
              </w:rPr>
              <w:t xml:space="preserve">July 1, 2025</w:t>
            </w:r>
          </w:p>
        </w:tc>
      </w:tr>
    </w:tbl>
    <w:p>
      <w:pPr>
        <w:spacing w:after="220" w:before="220"/>
      </w:pPr>
      <w:r>
        <w:t xml:space="preserve">This policy applies to all employees of the Clear River School District Board of Education. All employees are required to follow the approved work calendar and are expected to report for duty as scheduled unless leave has been requested and approved in accordance with this policy and applicable state and federal law. An absence not covered by an approved leave category under this policy, or by the Oregon Family Leave Act, Paid Leave Oregon, or the federal Family and Medical Leave Act, shall be treated as unauthorized absence and may result in loss of pay and disciplinary action, up to and including termination, in accordance with applicable Board policy and negotiated agreements. Principals and supervisors are not authorized to independently rearrange an employee’s work calendar or approve leave outside this policy.</w:t>
      </w:r>
    </w:p>
    <w:p>
      <w:pPr>
        <w:pStyle w:val="Heading2"/>
      </w:pPr>
      <w:r>
        <w:t xml:space="preserve">I. Accrual and Use of Sick Leave</w:t>
      </w:r>
    </w:p>
    <w:p>
      <w:pPr>
        <w:spacing w:after="160"/>
      </w:pPr>
      <w:r>
        <w:t xml:space="preserve">Each full-time employee shall earn sick leave with full pay computed on the basis of one (1) working day for each completed month of contracted service, prorated for employees who work less than full time. Unused sick leave shall accumulate from one fiscal year to the next up to a maximum of ninety (90) days. Sick leave used but not yet earned shall be deducted from the employee’s subsequent pay.</w:t>
      </w:r>
    </w:p>
    <w:p>
      <w:pPr>
        <w:spacing w:after="160"/>
      </w:pPr>
      <w:r>
        <w:t xml:space="preserve">Sick leave under this section may be used for the employee’s own illness, injury, or exposure to a contagious disease; for medical or dental appointments; or for the illness or injury of an immediate family member requiring the employee’s presence. A statement from a licensed health care provider shall be required for any sick leave absence exceeding three (3) consecutive contracted days and may be required at the supervisor’s discretion for shorter or repeated absences.</w:t>
      </w:r>
    </w:p>
    <w:p>
      <w:pPr>
        <w:pStyle w:val="Heading2"/>
      </w:pPr>
      <w:r>
        <w:t xml:space="preserve">II. Family and Medical Leave Act (FMLA)</w:t>
      </w:r>
    </w:p>
    <w:p>
      <w:pPr>
        <w:spacing w:after="160"/>
      </w:pPr>
      <w:r>
        <w:t xml:space="preserve">Employees who have been employed by the District for at least twelve (12) months and who have worked at least 1,250 hours during the twelve-month period immediately preceding the leave are eligible for up to twelve (12) weeks of unpaid, job-protected leave under the federal Family and Medical Leave Act for a qualifying reason, including the employee’s own serious health condition, the birth or placement of a child, or the serious health condition of a covered family member. FMLA leave runs concurrently with Paid Leave Oregon when both apply to the same absence.</w:t>
      </w:r>
    </w:p>
    <w:p>
      <w:pPr>
        <w:pStyle w:val="Heading2"/>
      </w:pPr>
      <w:r>
        <w:t xml:space="preserve">III. Oregon Family Leave Act (OFLA)</w:t>
      </w:r>
    </w:p>
    <w:p>
      <w:pPr>
        <w:spacing w:after="160"/>
      </w:pPr>
      <w:r>
        <w:t xml:space="preserve">The Oregon Family Leave Act applies to the District as an employer of twenty-five (25) or more employees. To be eligible, an employee must have worked an average of twenty-five (25) hours per week for the one hundred eighty (180) days immediately preceding the leave, except that eligibility for parental leave requires only one hundred eighty (180) days of employment regardless of hours worked.</w:t>
      </w:r>
    </w:p>
    <w:p>
      <w:pPr>
        <w:spacing w:after="160"/>
      </w:pPr>
      <w:r>
        <w:t xml:space="preserve">Qualifying reasons for OFLA leave are limited to: pregnancy disability leave; sick child leave, for a child with an illness or injury requiring home care that does not rise to the level of a serious health condition; and bereavement leave. Parental bonding leave and leave for an employee’s own or a covered family member’s serious health condition are addressed under Paid Leave Oregon in Section IV and are not qualifying reasons under OFLA.</w:t>
      </w:r>
    </w:p>
    <w:p>
      <w:pPr>
        <w:pStyle w:val="Heading2"/>
      </w:pPr>
      <w:r>
        <w:t xml:space="preserve">IV. Paid Leave Oregon (PLO)</w:t>
      </w:r>
    </w:p>
    <w:p>
      <w:pPr>
        <w:spacing w:after="160"/>
      </w:pPr>
      <w:r>
        <w:t xml:space="preserve">Paid Leave Oregon is a state-administered paid leave insurance benefit under the jurisdiction of the Oregon Employment Department. Covered leave includes family leave (bonding with a new child or caring for a family member with a serious health condition), medical leave (the employee’s own serious health condition), and safe leave. Employees apply for PLO benefits directly with the Oregon Employment Department. The District’s obligations under this section are limited to maintaining job protection and continuing health insurance coverage during an approved PLO leave, and to providing wage and employment verification as requested by the state.</w:t>
      </w:r>
    </w:p>
    <w:p>
      <w:pPr>
        <w:pStyle w:val="Heading2"/>
      </w:pPr>
      <w:r>
        <w:t xml:space="preserve">V. Coordination of Leave Programs</w:t>
      </w:r>
    </w:p>
    <w:p>
      <w:pPr>
        <w:spacing w:after="160"/>
      </w:pPr>
      <w:r>
        <w:t xml:space="preserve">OFLA and PLO shall not run concurrently for the same qualifying reason. An employee eligible under both programs for the same underlying reason shall elect which program to apply for and may not draw benefits or protection under both simultaneously; an employee may, however, use one program immediately following exhaustion of the other. FMLA shall run concurrently with PLO leave when both apply, but does not run concurrently with OFLA leave.</w:t>
      </w:r>
    </w:p>
    <w:p>
      <w:pPr>
        <w:pStyle w:val="Heading2"/>
      </w:pPr>
      <w:r>
        <w:t xml:space="preserve">VI. Leave Without Pay</w:t>
      </w:r>
    </w:p>
    <w:p>
      <w:pPr>
        <w:spacing w:after="160"/>
      </w:pPr>
      <w:r>
        <w:t xml:space="preserve">An employee who has exhausted all applicable paid leave and is not otherwise covered by FMLA, OFLA, or PLO may request unpaid leave of absence. Such leave requires the written approval of the Superintendent or designee and shall not exceed one (1) year except by further Board action. Continuation of insurance benefits during unpaid leave shall be governed by the applicable plan documents and by law.</w:t>
      </w:r>
    </w:p>
    <w:p>
      <w:pPr>
        <w:pStyle w:val="Heading2"/>
      </w:pPr>
      <w:r>
        <w:t xml:space="preserve">VII. Notice, Documentation, and Approval</w:t>
      </w:r>
    </w:p>
    <w:p>
      <w:pPr>
        <w:pStyle w:val="ListParagraph"/>
        <w:numPr>
          <w:ilvl w:val="0"/>
          <w:numId w:val="2"/>
        </w:numPr>
        <w:spacing w:after="80"/>
      </w:pPr>
      <w:r>
        <w:t xml:space="preserve">Foreseeable leave shall be requested in writing at least fourteen (14) calendar days in advance using the district leave request form.</w:t>
      </w:r>
    </w:p>
    <w:p>
      <w:pPr>
        <w:pStyle w:val="ListParagraph"/>
        <w:numPr>
          <w:ilvl w:val="0"/>
          <w:numId w:val="2"/>
        </w:numPr>
        <w:spacing w:after="80"/>
      </w:pPr>
      <w:r>
        <w:t xml:space="preserve">Unforeseeable leave shall be reported to the employee’s supervisor and to Human Resources as soon as practicable.</w:t>
      </w:r>
    </w:p>
    <w:p>
      <w:pPr>
        <w:pStyle w:val="ListParagraph"/>
        <w:numPr>
          <w:ilvl w:val="0"/>
          <w:numId w:val="2"/>
        </w:numPr>
        <w:spacing w:after="80"/>
      </w:pPr>
      <w:r>
        <w:t xml:space="preserve">Supporting documentation shall be submitted within the timeframe specified by Human Resources upon request.</w:t>
      </w:r>
    </w:p>
    <w:p>
      <w:pPr>
        <w:pStyle w:val="ListParagraph"/>
        <w:numPr>
          <w:ilvl w:val="0"/>
          <w:numId w:val="2"/>
        </w:numPr>
        <w:spacing w:after="80"/>
      </w:pPr>
      <w:r>
        <w:t xml:space="preserve">Approval or denial of a leave request shall be communicated to the employee in writing.</w:t>
      </w:r>
    </w:p>
    <w:p>
      <w:pPr>
        <w:pStyle w:val="Heading2"/>
      </w:pPr>
      <w:r>
        <w:t xml:space="preserve">VIII. Return to Work</w:t>
      </w:r>
    </w:p>
    <w:p>
      <w:pPr>
        <w:spacing w:after="160"/>
      </w:pPr>
      <w:r>
        <w:t xml:space="preserve">An employee returning from a leave associated with the employee’s own serious health condition or sick leave in excess of five (5) consecutive contracted days may be required to provide a fitness-for-duty certification from a licensed health care provider prior to resuming assigned duties.</w:t>
      </w:r>
    </w:p>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ABD150" w:sz="6" w:space="4"/>
      </w:pBdr>
      <w:tabs>
        <w:tab w:val="right" w:pos="9026"/>
      </w:tabs>
    </w:pPr>
    <w:r>
      <w:drawing>
        <wp:inline distT="0" distB="0" distL="0" distR="0">
          <wp:extent cx="190500" cy="190500"/>
          <wp:effectExtent t="0" r="0" b="0" l="0"/>
          <wp:docPr id="1" name="CCCG logo" descr="Clear Concepts Consulting Group logo" title="C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90500" cy="190500"/>
                  </a:xfrm>
                  <a:prstGeom prst="rect">
                    <a:avLst/>
                  </a:prstGeom>
                </pic:spPr>
              </pic:pic>
            </a:graphicData>
          </a:graphic>
        </wp:inline>
      </w:drawing>
    </w:r>
    <w:r>
      <w:rPr>
        <w:b/>
        <w:bCs/>
        <w:color w:val="004F6E"/>
        <w:sz w:val="16"/>
        <w:szCs w:val="16"/>
      </w:rPr>
      <w:t xml:space="preserve">  Clear Concepts Consulting Group  |  OSPA Workshop 2026</w:t>
    </w:r>
    <w:r>
      <w:rPr>
        <w:color w:val="595959"/>
        <w:sz w:val="16"/>
        <w:szCs w:val="16"/>
      </w:rPr>
      <w:t xml:space="preserve">	Sandbox source document — for OSPA workshop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50" w:hanging="260"/>
      </w:pPr>
    </w:lvl>
  </w:abstractNum>
  <w:abstractNum w:abstractNumId="3" w15:restartNumberingAfterBreak="0">
    <w:multiLevelType w:val="hybridMultilevel"/>
    <w:lvl w:ilvl="0" w15:tentative="1">
      <w:start w:val="1"/>
      <w:numFmt w:val="decimal"/>
      <w:lvlText w:val="%1."/>
      <w:lvlJc w:val="left"/>
      <w:pPr>
        <w:ind w:left="45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ABD150" w:sz="8" w:space="4"/>
      </w:pBdr>
      <w:spacing w:after="160" w:before="120"/>
      <w:outlineLvl w:val="0"/>
    </w:pPr>
    <w:rPr>
      <w:rFonts w:ascii="Georgia" w:cs="Georgia" w:eastAsia="Georgia" w:hAnsi="Georgia"/>
      <w:b/>
      <w:bCs/>
      <w:color w:val="004F6E"/>
      <w:sz w:val="34"/>
      <w:szCs w:val="34"/>
    </w:rPr>
  </w:style>
  <w:style w:type="paragraph" w:styleId="Heading2">
    <w:name w:val="Heading 2"/>
    <w:basedOn w:val="Normal"/>
    <w:next w:val="Normal"/>
    <w:qFormat/>
    <w:pPr>
      <w:spacing w:after="120" w:before="220"/>
      <w:outlineLvl w:val="1"/>
    </w:pPr>
    <w:rPr>
      <w:rFonts w:ascii="Georgia" w:cs="Georgia" w:eastAsia="Georgia" w:hAnsi="Georgia"/>
      <w:b/>
      <w:bCs/>
      <w:color w:val="004F6E"/>
      <w:sz w:val="26"/>
      <w:szCs w:val="26"/>
    </w:rPr>
  </w:style>
  <w:style w:type="paragraph" w:styleId="Heading3">
    <w:name w:val="Heading 3"/>
    <w:basedOn w:val="Normal"/>
    <w:next w:val="Normal"/>
    <w:qFormat/>
    <w:pPr>
      <w:spacing w:after="80" w:before="160"/>
      <w:outlineLvl w:val="2"/>
    </w:pPr>
    <w:rPr>
      <w:rFonts w:ascii="Georgia" w:cs="Georgia" w:eastAsia="Georgia" w:hAnsi="Georgia"/>
      <w:b/>
      <w:bCs/>
      <w:color w:val="8AAA3A"/>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0" Type="http://schemas.openxmlformats.org/officeDocument/2006/relationships/image" Target="media/5e95ab6d7a6bdd22a532c810ce8627d25d168bcb.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2026-07-02T12:38:54.632Z</dcterms:created>
  <dcterms:modified xsi:type="dcterms:W3CDTF">2026-07-02T12:38:54.665Z</dcterms:modified>
</cp:coreProperties>
</file>

<file path=docProps/custom.xml><?xml version="1.0" encoding="utf-8"?>
<Properties xmlns="http://schemas.openxmlformats.org/officeDocument/2006/custom-properties" xmlns:vt="http://schemas.openxmlformats.org/officeDocument/2006/docPropsVTypes"/>
</file>